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8"/>
        <w:gridCol w:w="694"/>
        <w:gridCol w:w="1814"/>
      </w:tblGrid>
      <w:tr w:rsidR="00B12226" w14:paraId="5849796A" w14:textId="77777777">
        <w:trPr>
          <w:trHeight w:val="720"/>
        </w:trPr>
        <w:tc>
          <w:tcPr>
            <w:tcW w:w="6848" w:type="dxa"/>
          </w:tcPr>
          <w:p w14:paraId="765B8A1B" w14:textId="77777777" w:rsidR="009D3074" w:rsidRDefault="009D3074" w:rsidP="009D3074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</w:tabs>
              <w:ind w:left="488" w:hanging="488"/>
              <w:jc w:val="both"/>
            </w:pPr>
            <w:r>
              <w:t>To: heads and administrators of all departments in the Medical Sciences Division</w:t>
            </w:r>
          </w:p>
          <w:p w14:paraId="30CE1968" w14:textId="5192F647" w:rsidR="00B12226" w:rsidRDefault="009D3074" w:rsidP="0097435A">
            <w:r>
              <w:t xml:space="preserve">cc.   </w:t>
            </w:r>
            <w:r w:rsidR="003D4EDC">
              <w:t xml:space="preserve">Professor </w:t>
            </w:r>
            <w:proofErr w:type="spellStart"/>
            <w:r w:rsidR="003D4EDC">
              <w:t>Screa</w:t>
            </w:r>
            <w:r w:rsidR="0097435A">
              <w:t>ton</w:t>
            </w:r>
            <w:proofErr w:type="spellEnd"/>
            <w:r w:rsidR="0097435A">
              <w:t>, Mr Price</w:t>
            </w:r>
            <w:r>
              <w:t xml:space="preserve">, </w:t>
            </w:r>
            <w:r w:rsidR="00F332BD">
              <w:t xml:space="preserve">Ms Hemmerich, </w:t>
            </w:r>
            <w:r>
              <w:t xml:space="preserve">Ms Coldstream, </w:t>
            </w:r>
            <w:r w:rsidR="00100FB1">
              <w:t>M</w:t>
            </w:r>
            <w:r w:rsidR="00C00C12">
              <w:t>s Johnson</w:t>
            </w:r>
            <w:r w:rsidR="00100FB1">
              <w:t>, Ms Morris,</w:t>
            </w:r>
            <w:r>
              <w:t xml:space="preserve"> Mr Morgan</w:t>
            </w:r>
          </w:p>
        </w:tc>
        <w:tc>
          <w:tcPr>
            <w:tcW w:w="694" w:type="dxa"/>
          </w:tcPr>
          <w:p w14:paraId="6DB17E53" w14:textId="77777777" w:rsidR="00B12226" w:rsidRDefault="00B12226">
            <w:pPr>
              <w:pStyle w:val="OXAddressee"/>
            </w:pPr>
          </w:p>
        </w:tc>
        <w:tc>
          <w:tcPr>
            <w:tcW w:w="1814" w:type="dxa"/>
          </w:tcPr>
          <w:p w14:paraId="4D48244C" w14:textId="77777777" w:rsidR="00B12226" w:rsidRPr="00D12830" w:rsidRDefault="009D3074" w:rsidP="00B12226">
            <w:proofErr w:type="spellStart"/>
            <w:r>
              <w:t>Ref.EMS</w:t>
            </w:r>
            <w:proofErr w:type="spellEnd"/>
            <w:r>
              <w:t>/6/2</w:t>
            </w:r>
          </w:p>
          <w:p w14:paraId="63A5520C" w14:textId="50EB9CA2" w:rsidR="00B12226" w:rsidRDefault="00C45AC9" w:rsidP="00AB05D2">
            <w:pPr>
              <w:pStyle w:val="OXREFDATE"/>
            </w:pPr>
            <w:r>
              <w:t>20</w:t>
            </w:r>
            <w:r w:rsidR="00F246CF">
              <w:t xml:space="preserve"> August 2020</w:t>
            </w:r>
          </w:p>
        </w:tc>
      </w:tr>
    </w:tbl>
    <w:p w14:paraId="15C3B64C" w14:textId="78CA8C9D" w:rsidR="00B12226" w:rsidRPr="009D3074" w:rsidRDefault="00BF30F6" w:rsidP="00800273">
      <w:pPr>
        <w:pStyle w:val="Title"/>
      </w:pPr>
      <w:r>
        <w:t>2020</w:t>
      </w:r>
      <w:r w:rsidR="009D3074" w:rsidRPr="009D3074">
        <w:t xml:space="preserve"> </w:t>
      </w:r>
      <w:r w:rsidR="00A578AE">
        <w:t>S</w:t>
      </w:r>
      <w:r w:rsidR="00D047F3">
        <w:t xml:space="preserve">alary increases for </w:t>
      </w:r>
      <w:r w:rsidR="009D3074" w:rsidRPr="009D3074">
        <w:t>clinical academic and related staff</w:t>
      </w:r>
      <w:r w:rsidR="009D3074" w:rsidRPr="009D3074">
        <w:rPr>
          <w:noProof/>
          <w:sz w:val="20"/>
          <w:lang w:eastAsia="en-GB"/>
        </w:rPr>
        <w:t xml:space="preserve"> </w:t>
      </w:r>
      <w:r w:rsidR="00866F6F" w:rsidRPr="009D3074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4A32097" wp14:editId="41260A83">
                <wp:simplePos x="0" y="0"/>
                <wp:positionH relativeFrom="column">
                  <wp:posOffset>4053840</wp:posOffset>
                </wp:positionH>
                <wp:positionV relativeFrom="page">
                  <wp:posOffset>274320</wp:posOffset>
                </wp:positionV>
                <wp:extent cx="1905000" cy="381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B3E3C" w14:textId="5B51E52E" w:rsidR="00F5786E" w:rsidRDefault="00F246CF" w:rsidP="00B12226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PERS(20</w:t>
                            </w:r>
                            <w:r w:rsidR="00F5786E" w:rsidRPr="00684CF4">
                              <w:rPr>
                                <w:rFonts w:cs="Arial"/>
                              </w:rPr>
                              <w:t>)</w:t>
                            </w:r>
                            <w:r w:rsidR="00EF1053">
                              <w:rPr>
                                <w:rFonts w:cs="Arial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32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2pt;margin-top:21.6pt;width:15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" filled="f" stroked="f">
                <v:textbox inset="0,0,0,0">
                  <w:txbxContent>
                    <w:p w14:paraId="703B3E3C" w14:textId="5B51E52E" w:rsidR="00F5786E" w:rsidRDefault="00F246CF" w:rsidP="00B12226">
                      <w:pPr>
                        <w:jc w:val="right"/>
                        <w:rPr>
                          <w:rFonts w:cs="Arial"/>
                        </w:rPr>
                      </w:pPr>
                      <w:proofErr w:type="gramStart"/>
                      <w:r>
                        <w:rPr>
                          <w:rFonts w:cs="Arial"/>
                        </w:rPr>
                        <w:t>PERS(</w:t>
                      </w:r>
                      <w:proofErr w:type="gramEnd"/>
                      <w:r>
                        <w:rPr>
                          <w:rFonts w:cs="Arial"/>
                        </w:rPr>
                        <w:t>20</w:t>
                      </w:r>
                      <w:r w:rsidR="00F5786E" w:rsidRPr="00684CF4">
                        <w:rPr>
                          <w:rFonts w:cs="Arial"/>
                        </w:rPr>
                        <w:t>)</w:t>
                      </w:r>
                      <w:r w:rsidR="00EF1053">
                        <w:rPr>
                          <w:rFonts w:cs="Arial"/>
                        </w:rPr>
                        <w:t>0</w:t>
                      </w:r>
                      <w:r>
                        <w:rPr>
                          <w:rFonts w:cs="Arial"/>
                        </w:rPr>
                        <w:t>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83651CB" w14:textId="1FE74B36" w:rsidR="00CE1F44" w:rsidRDefault="00F246CF" w:rsidP="00B1222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pos="8280"/>
        </w:tabs>
        <w:jc w:val="both"/>
        <w:rPr>
          <w:i/>
          <w:szCs w:val="22"/>
          <w:lang w:eastAsia="en-GB"/>
        </w:rPr>
      </w:pPr>
      <w:r>
        <w:rPr>
          <w:i/>
          <w:iCs/>
        </w:rPr>
        <w:t>The 2020</w:t>
      </w:r>
      <w:r w:rsidR="00B12226" w:rsidRPr="0063555A">
        <w:rPr>
          <w:i/>
          <w:iCs/>
        </w:rPr>
        <w:t xml:space="preserve"> </w:t>
      </w:r>
      <w:r w:rsidR="003C0273" w:rsidRPr="0063555A">
        <w:rPr>
          <w:i/>
          <w:iCs/>
        </w:rPr>
        <w:t xml:space="preserve">national </w:t>
      </w:r>
      <w:r w:rsidR="006F735E">
        <w:rPr>
          <w:i/>
          <w:iCs/>
        </w:rPr>
        <w:t xml:space="preserve">pay </w:t>
      </w:r>
      <w:r w:rsidR="00B34364">
        <w:rPr>
          <w:i/>
          <w:iCs/>
        </w:rPr>
        <w:t>award</w:t>
      </w:r>
      <w:r w:rsidR="006F735E">
        <w:rPr>
          <w:i/>
          <w:iCs/>
        </w:rPr>
        <w:t xml:space="preserve"> for </w:t>
      </w:r>
      <w:r w:rsidR="00CE1F44" w:rsidRPr="00CE1F44">
        <w:rPr>
          <w:i/>
          <w:iCs/>
        </w:rPr>
        <w:t>docto</w:t>
      </w:r>
      <w:r w:rsidR="00CE1F44">
        <w:rPr>
          <w:i/>
          <w:iCs/>
        </w:rPr>
        <w:t>rs</w:t>
      </w:r>
      <w:r w:rsidR="008F4285">
        <w:rPr>
          <w:i/>
          <w:iCs/>
        </w:rPr>
        <w:t xml:space="preserve"> </w:t>
      </w:r>
      <w:r w:rsidR="00CE1F44">
        <w:rPr>
          <w:i/>
          <w:iCs/>
        </w:rPr>
        <w:t>in training has</w:t>
      </w:r>
      <w:r w:rsidR="00CE1F44" w:rsidRPr="00CE1F44">
        <w:rPr>
          <w:i/>
          <w:iCs/>
        </w:rPr>
        <w:t xml:space="preserve"> </w:t>
      </w:r>
      <w:r w:rsidR="000C6325">
        <w:rPr>
          <w:i/>
          <w:iCs/>
        </w:rPr>
        <w:t>been approved for implementation at Oxford. It provides for an increase</w:t>
      </w:r>
      <w:r w:rsidR="00CE1F44" w:rsidRPr="00CE1F44">
        <w:rPr>
          <w:i/>
          <w:iCs/>
        </w:rPr>
        <w:t xml:space="preserve"> </w:t>
      </w:r>
      <w:r w:rsidR="000C6325">
        <w:rPr>
          <w:i/>
          <w:iCs/>
        </w:rPr>
        <w:t>of</w:t>
      </w:r>
      <w:r w:rsidR="00CE1F44" w:rsidRPr="00CE1F44">
        <w:rPr>
          <w:i/>
          <w:iCs/>
        </w:rPr>
        <w:t xml:space="preserve"> 2% to basic pay</w:t>
      </w:r>
      <w:r w:rsidR="00895758">
        <w:rPr>
          <w:i/>
          <w:iCs/>
        </w:rPr>
        <w:t xml:space="preserve"> and flexible pay premia.</w:t>
      </w:r>
    </w:p>
    <w:p w14:paraId="03F01A21" w14:textId="47966C42" w:rsidR="00BF30F6" w:rsidRDefault="00CE1F44" w:rsidP="00CE1F44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pos="8280"/>
        </w:tabs>
        <w:jc w:val="both"/>
        <w:rPr>
          <w:i/>
          <w:szCs w:val="22"/>
          <w:lang w:eastAsia="en-GB"/>
        </w:rPr>
      </w:pPr>
      <w:r w:rsidRPr="00CE1F44">
        <w:rPr>
          <w:i/>
          <w:szCs w:val="22"/>
          <w:lang w:eastAsia="en-GB"/>
        </w:rPr>
        <w:t>The uplif</w:t>
      </w:r>
      <w:r>
        <w:rPr>
          <w:i/>
          <w:szCs w:val="22"/>
          <w:lang w:eastAsia="en-GB"/>
        </w:rPr>
        <w:t>t will be implemented in the Sept</w:t>
      </w:r>
      <w:r w:rsidR="00560DED">
        <w:rPr>
          <w:i/>
          <w:szCs w:val="22"/>
          <w:lang w:eastAsia="en-GB"/>
        </w:rPr>
        <w:t>ember payroll and backdated to 1 April 2020</w:t>
      </w:r>
      <w:r w:rsidRPr="00CE1F44">
        <w:rPr>
          <w:i/>
          <w:szCs w:val="22"/>
          <w:lang w:eastAsia="en-GB"/>
        </w:rPr>
        <w:t>.</w:t>
      </w:r>
    </w:p>
    <w:p w14:paraId="4D9DCBC0" w14:textId="677A0A95" w:rsidR="00BF30F6" w:rsidRDefault="007C66F5" w:rsidP="00D047F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szCs w:val="22"/>
          <w:lang w:eastAsia="en-GB"/>
        </w:rPr>
      </w:pPr>
      <w:r>
        <w:rPr>
          <w:i/>
          <w:szCs w:val="22"/>
          <w:lang w:eastAsia="en-GB"/>
        </w:rPr>
        <w:t>The salary scales for Clinical</w:t>
      </w:r>
      <w:r w:rsidR="00D047F3" w:rsidRPr="00D047F3">
        <w:rPr>
          <w:i/>
          <w:szCs w:val="22"/>
          <w:lang w:eastAsia="en-GB"/>
        </w:rPr>
        <w:t xml:space="preserve"> consultants </w:t>
      </w:r>
      <w:r w:rsidR="00723A1E">
        <w:rPr>
          <w:i/>
          <w:szCs w:val="22"/>
          <w:lang w:eastAsia="en-GB"/>
        </w:rPr>
        <w:t xml:space="preserve">and any Clinical Excellence awards </w:t>
      </w:r>
      <w:r>
        <w:rPr>
          <w:i/>
          <w:szCs w:val="22"/>
          <w:lang w:eastAsia="en-GB"/>
        </w:rPr>
        <w:t>have not been uplifted.  Any</w:t>
      </w:r>
      <w:r w:rsidR="00B54DAC">
        <w:rPr>
          <w:i/>
          <w:szCs w:val="22"/>
          <w:lang w:eastAsia="en-GB"/>
        </w:rPr>
        <w:t xml:space="preserve"> awards</w:t>
      </w:r>
      <w:r w:rsidR="00D047F3" w:rsidRPr="00D047F3">
        <w:rPr>
          <w:i/>
          <w:szCs w:val="22"/>
          <w:lang w:eastAsia="en-GB"/>
        </w:rPr>
        <w:t xml:space="preserve"> for these</w:t>
      </w:r>
      <w:r w:rsidR="00D047F3">
        <w:rPr>
          <w:i/>
          <w:szCs w:val="22"/>
          <w:lang w:eastAsia="en-GB"/>
        </w:rPr>
        <w:t xml:space="preserve"> </w:t>
      </w:r>
      <w:r w:rsidR="00D047F3" w:rsidRPr="00D047F3">
        <w:rPr>
          <w:i/>
          <w:szCs w:val="22"/>
          <w:lang w:eastAsia="en-GB"/>
        </w:rPr>
        <w:t xml:space="preserve">scales are pending </w:t>
      </w:r>
      <w:r w:rsidR="00F25EC3">
        <w:rPr>
          <w:i/>
          <w:szCs w:val="22"/>
          <w:lang w:eastAsia="en-GB"/>
        </w:rPr>
        <w:t>communication from UCEA and</w:t>
      </w:r>
      <w:r>
        <w:rPr>
          <w:i/>
          <w:szCs w:val="22"/>
          <w:lang w:eastAsia="en-GB"/>
        </w:rPr>
        <w:t xml:space="preserve"> will be communicated</w:t>
      </w:r>
      <w:r w:rsidR="00377C7B">
        <w:rPr>
          <w:i/>
          <w:szCs w:val="22"/>
          <w:lang w:eastAsia="en-GB"/>
        </w:rPr>
        <w:t xml:space="preserve"> in a future</w:t>
      </w:r>
      <w:r w:rsidR="00814D76">
        <w:rPr>
          <w:i/>
          <w:szCs w:val="22"/>
          <w:lang w:eastAsia="en-GB"/>
        </w:rPr>
        <w:t xml:space="preserve"> circular.</w:t>
      </w:r>
    </w:p>
    <w:p w14:paraId="72A4A40D" w14:textId="56413CDB" w:rsidR="00E85092" w:rsidRDefault="00CE1F44" w:rsidP="006F735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iCs/>
        </w:rPr>
      </w:pPr>
      <w:r>
        <w:rPr>
          <w:i/>
          <w:szCs w:val="22"/>
          <w:lang w:eastAsia="en-GB"/>
        </w:rPr>
        <w:t>The consultants’ salaries and clinical excellence awards</w:t>
      </w:r>
      <w:r w:rsidR="00BB6D76">
        <w:rPr>
          <w:i/>
          <w:szCs w:val="22"/>
          <w:lang w:eastAsia="en-GB"/>
        </w:rPr>
        <w:t>,</w:t>
      </w:r>
      <w:r>
        <w:rPr>
          <w:i/>
          <w:szCs w:val="22"/>
          <w:lang w:eastAsia="en-GB"/>
        </w:rPr>
        <w:t xml:space="preserve"> at</w:t>
      </w:r>
      <w:r w:rsidR="00BB6D76">
        <w:rPr>
          <w:i/>
          <w:szCs w:val="22"/>
          <w:lang w:eastAsia="en-GB"/>
        </w:rPr>
        <w:t xml:space="preserve"> their current level,</w:t>
      </w:r>
      <w:r>
        <w:rPr>
          <w:i/>
          <w:szCs w:val="22"/>
          <w:lang w:eastAsia="en-GB"/>
        </w:rPr>
        <w:t xml:space="preserve"> </w:t>
      </w:r>
      <w:r w:rsidR="00814D76">
        <w:rPr>
          <w:i/>
          <w:szCs w:val="22"/>
          <w:lang w:eastAsia="en-GB"/>
        </w:rPr>
        <w:t>are</w:t>
      </w:r>
      <w:r>
        <w:rPr>
          <w:i/>
          <w:szCs w:val="22"/>
          <w:lang w:eastAsia="en-GB"/>
        </w:rPr>
        <w:t xml:space="preserve"> stated in the annexes</w:t>
      </w:r>
      <w:r w:rsidR="00BB6D76">
        <w:rPr>
          <w:i/>
          <w:szCs w:val="22"/>
          <w:lang w:eastAsia="en-GB"/>
        </w:rPr>
        <w:t xml:space="preserve"> for ease of reference</w:t>
      </w:r>
      <w:r w:rsidR="00F25EC3">
        <w:rPr>
          <w:i/>
          <w:szCs w:val="22"/>
          <w:lang w:eastAsia="en-GB"/>
        </w:rPr>
        <w:t>.</w:t>
      </w:r>
      <w:r w:rsidR="00BB6D76">
        <w:rPr>
          <w:i/>
        </w:rPr>
        <w:t xml:space="preserve"> </w:t>
      </w:r>
    </w:p>
    <w:p w14:paraId="31367C83" w14:textId="77777777" w:rsidR="00B12226" w:rsidRDefault="00B12226" w:rsidP="00E31752">
      <w:pPr>
        <w:pStyle w:val="Heading2"/>
      </w:pPr>
      <w:r>
        <w:t>Action required of departments</w:t>
      </w:r>
    </w:p>
    <w:p w14:paraId="125375C0" w14:textId="77777777" w:rsidR="00E85092" w:rsidRDefault="00B12226" w:rsidP="00B12226">
      <w:r>
        <w:t>Departments are asked to:</w:t>
      </w:r>
    </w:p>
    <w:p w14:paraId="26D8F728" w14:textId="25885066" w:rsidR="00E85092" w:rsidRDefault="00E85092" w:rsidP="00B12226">
      <w:pPr>
        <w:pStyle w:val="ListBullet"/>
        <w:rPr>
          <w:b w:val="0"/>
          <w:bCs w:val="0"/>
        </w:rPr>
      </w:pPr>
      <w:r>
        <w:rPr>
          <w:b w:val="0"/>
          <w:bCs w:val="0"/>
        </w:rPr>
        <w:t>familiarise themselves with the arrangements for clinical academi</w:t>
      </w:r>
      <w:r w:rsidR="00E3086E">
        <w:rPr>
          <w:b w:val="0"/>
          <w:bCs w:val="0"/>
        </w:rPr>
        <w:t>c and related salaries  for 2020</w:t>
      </w:r>
      <w:r>
        <w:rPr>
          <w:b w:val="0"/>
          <w:bCs w:val="0"/>
        </w:rPr>
        <w:t xml:space="preserve"> as set out in section 2 below;</w:t>
      </w:r>
    </w:p>
    <w:p w14:paraId="6C8E7A0B" w14:textId="77777777" w:rsidR="003F2779" w:rsidRDefault="003F2779" w:rsidP="00B12226">
      <w:pPr>
        <w:pStyle w:val="ListBullet"/>
        <w:rPr>
          <w:b w:val="0"/>
          <w:bCs w:val="0"/>
        </w:rPr>
      </w:pPr>
      <w:r>
        <w:rPr>
          <w:b w:val="0"/>
          <w:bCs w:val="0"/>
        </w:rPr>
        <w:t xml:space="preserve">advertise with </w:t>
      </w:r>
      <w:r w:rsidR="001C502C">
        <w:rPr>
          <w:b w:val="0"/>
          <w:bCs w:val="0"/>
        </w:rPr>
        <w:t>the revised</w:t>
      </w:r>
      <w:r>
        <w:rPr>
          <w:b w:val="0"/>
          <w:bCs w:val="0"/>
        </w:rPr>
        <w:t xml:space="preserve"> rates </w:t>
      </w:r>
      <w:r w:rsidR="00E85092">
        <w:rPr>
          <w:b w:val="0"/>
          <w:bCs w:val="0"/>
        </w:rPr>
        <w:t xml:space="preserve">annexed </w:t>
      </w:r>
      <w:r w:rsidR="00E85092" w:rsidRPr="00AB05D2">
        <w:rPr>
          <w:b w:val="0"/>
          <w:bCs w:val="0"/>
        </w:rPr>
        <w:t>at A and B</w:t>
      </w:r>
      <w:r w:rsidR="00E85092">
        <w:rPr>
          <w:b w:val="0"/>
          <w:bCs w:val="0"/>
        </w:rPr>
        <w:t xml:space="preserve"> </w:t>
      </w:r>
      <w:r>
        <w:rPr>
          <w:b w:val="0"/>
          <w:bCs w:val="0"/>
        </w:rPr>
        <w:t>with immediate effect;</w:t>
      </w:r>
    </w:p>
    <w:p w14:paraId="30ECE0E6" w14:textId="77777777" w:rsidR="00E85092" w:rsidRPr="00100FB1" w:rsidRDefault="00E85092" w:rsidP="00100FB1">
      <w:pPr>
        <w:pStyle w:val="ListBullet"/>
        <w:rPr>
          <w:b w:val="0"/>
          <w:bCs w:val="0"/>
        </w:rPr>
      </w:pPr>
      <w:r>
        <w:rPr>
          <w:b w:val="0"/>
          <w:bCs w:val="0"/>
        </w:rPr>
        <w:t>put a copy of this circular on t</w:t>
      </w:r>
      <w:r w:rsidR="00100FB1">
        <w:rPr>
          <w:b w:val="0"/>
          <w:bCs w:val="0"/>
        </w:rPr>
        <w:t>heir departmental notice board.</w:t>
      </w:r>
    </w:p>
    <w:p w14:paraId="0A7C966C" w14:textId="77777777" w:rsidR="00831676" w:rsidRPr="00831676" w:rsidRDefault="00E85092" w:rsidP="00831676">
      <w:pPr>
        <w:pStyle w:val="Heading2"/>
      </w:pPr>
      <w:r>
        <w:t>Additional Information</w:t>
      </w:r>
    </w:p>
    <w:p w14:paraId="68A36FEB" w14:textId="77777777" w:rsidR="00831676" w:rsidRDefault="00831676" w:rsidP="00831676">
      <w:pPr>
        <w:pStyle w:val="Default0"/>
        <w:rPr>
          <w:i/>
          <w:szCs w:val="22"/>
        </w:rPr>
      </w:pPr>
    </w:p>
    <w:p w14:paraId="3438C2E5" w14:textId="3E8B5C9B" w:rsidR="00F25EC3" w:rsidRDefault="00831676" w:rsidP="00831676">
      <w:pPr>
        <w:pStyle w:val="Default0"/>
        <w:rPr>
          <w:sz w:val="22"/>
          <w:szCs w:val="22"/>
        </w:rPr>
      </w:pPr>
      <w:r w:rsidRPr="00E42A53">
        <w:rPr>
          <w:sz w:val="22"/>
          <w:szCs w:val="22"/>
        </w:rPr>
        <w:t xml:space="preserve">With effect from 1 </w:t>
      </w:r>
      <w:r w:rsidR="00A2783B">
        <w:rPr>
          <w:sz w:val="22"/>
          <w:szCs w:val="22"/>
        </w:rPr>
        <w:t>April</w:t>
      </w:r>
      <w:r w:rsidRPr="00E42A53">
        <w:rPr>
          <w:sz w:val="22"/>
          <w:szCs w:val="22"/>
        </w:rPr>
        <w:t xml:space="preserve"> </w:t>
      </w:r>
      <w:r w:rsidR="00377C7B">
        <w:rPr>
          <w:sz w:val="22"/>
          <w:szCs w:val="22"/>
        </w:rPr>
        <w:t>2020</w:t>
      </w:r>
      <w:r w:rsidR="00A2783B">
        <w:rPr>
          <w:sz w:val="22"/>
          <w:szCs w:val="22"/>
        </w:rPr>
        <w:t>,</w:t>
      </w:r>
      <w:r w:rsidRPr="00E42A53">
        <w:rPr>
          <w:sz w:val="22"/>
          <w:szCs w:val="22"/>
        </w:rPr>
        <w:t xml:space="preserve"> </w:t>
      </w:r>
      <w:r w:rsidR="00377C7B">
        <w:rPr>
          <w:sz w:val="22"/>
          <w:szCs w:val="22"/>
        </w:rPr>
        <w:t xml:space="preserve">the </w:t>
      </w:r>
      <w:r w:rsidR="00E42A53" w:rsidRPr="00E42A53">
        <w:rPr>
          <w:sz w:val="22"/>
          <w:szCs w:val="22"/>
        </w:rPr>
        <w:t xml:space="preserve">basic salaries </w:t>
      </w:r>
      <w:r w:rsidR="0019279D">
        <w:rPr>
          <w:sz w:val="22"/>
          <w:szCs w:val="22"/>
        </w:rPr>
        <w:t xml:space="preserve">and pay premia </w:t>
      </w:r>
      <w:r w:rsidR="00E42A53" w:rsidRPr="00E42A53">
        <w:rPr>
          <w:sz w:val="22"/>
          <w:szCs w:val="22"/>
        </w:rPr>
        <w:t>for doctors in training</w:t>
      </w:r>
      <w:r w:rsidR="00377C7B">
        <w:rPr>
          <w:sz w:val="22"/>
          <w:szCs w:val="22"/>
        </w:rPr>
        <w:t xml:space="preserve"> will increase</w:t>
      </w:r>
      <w:r w:rsidR="00E42A53" w:rsidRPr="00E42A53">
        <w:rPr>
          <w:sz w:val="22"/>
          <w:szCs w:val="22"/>
        </w:rPr>
        <w:t xml:space="preserve"> by 2%. </w:t>
      </w:r>
    </w:p>
    <w:p w14:paraId="69E4360E" w14:textId="77777777" w:rsidR="00377C7B" w:rsidRDefault="00377C7B" w:rsidP="00831676">
      <w:pPr>
        <w:pStyle w:val="Default0"/>
        <w:rPr>
          <w:sz w:val="22"/>
          <w:szCs w:val="22"/>
        </w:rPr>
      </w:pPr>
    </w:p>
    <w:p w14:paraId="29853CB9" w14:textId="7ACFDA8E" w:rsidR="00377C7B" w:rsidRPr="00E42A53" w:rsidRDefault="00E42A53" w:rsidP="00831676">
      <w:pPr>
        <w:pStyle w:val="Default0"/>
        <w:rPr>
          <w:sz w:val="22"/>
          <w:szCs w:val="22"/>
        </w:rPr>
      </w:pPr>
      <w:r w:rsidRPr="00E42A53">
        <w:rPr>
          <w:sz w:val="22"/>
          <w:szCs w:val="22"/>
        </w:rPr>
        <w:t>There is no change to</w:t>
      </w:r>
      <w:r w:rsidR="00723A1E" w:rsidRPr="00723A1E">
        <w:t xml:space="preserve"> </w:t>
      </w:r>
      <w:r w:rsidR="00723A1E" w:rsidRPr="00723A1E">
        <w:rPr>
          <w:sz w:val="22"/>
          <w:szCs w:val="22"/>
        </w:rPr>
        <w:t xml:space="preserve">Clinical </w:t>
      </w:r>
      <w:r w:rsidR="006D06E3">
        <w:rPr>
          <w:sz w:val="22"/>
          <w:szCs w:val="22"/>
        </w:rPr>
        <w:t>C</w:t>
      </w:r>
      <w:r w:rsidR="00723A1E" w:rsidRPr="00723A1E">
        <w:rPr>
          <w:sz w:val="22"/>
          <w:szCs w:val="22"/>
        </w:rPr>
        <w:t>onsultants</w:t>
      </w:r>
      <w:r w:rsidRPr="00E42A53">
        <w:rPr>
          <w:sz w:val="22"/>
          <w:szCs w:val="22"/>
        </w:rPr>
        <w:t xml:space="preserve"> </w:t>
      </w:r>
      <w:r w:rsidR="00723A1E">
        <w:rPr>
          <w:sz w:val="22"/>
          <w:szCs w:val="22"/>
        </w:rPr>
        <w:t xml:space="preserve">salaries or the </w:t>
      </w:r>
      <w:r w:rsidRPr="00E42A53">
        <w:rPr>
          <w:sz w:val="22"/>
          <w:szCs w:val="22"/>
        </w:rPr>
        <w:t>Clinical</w:t>
      </w:r>
      <w:r w:rsidR="00723A1E">
        <w:rPr>
          <w:sz w:val="22"/>
          <w:szCs w:val="22"/>
        </w:rPr>
        <w:t xml:space="preserve"> Excellence Awards </w:t>
      </w:r>
      <w:r w:rsidR="00723A1E" w:rsidRPr="00723A1E">
        <w:rPr>
          <w:sz w:val="22"/>
          <w:szCs w:val="22"/>
        </w:rPr>
        <w:t xml:space="preserve">and Local Clinical Excellence Awards under the pre-April 2018 scheme, Local Excellence Awards under the new scheme (April 2018 to March 2021), discretionary points and distinction awards also remain unchanged, pending </w:t>
      </w:r>
      <w:r w:rsidR="00F25EC3">
        <w:rPr>
          <w:sz w:val="22"/>
          <w:szCs w:val="22"/>
        </w:rPr>
        <w:t>further communication from UCEA</w:t>
      </w:r>
      <w:r w:rsidR="00723A1E" w:rsidRPr="00723A1E">
        <w:rPr>
          <w:sz w:val="22"/>
          <w:szCs w:val="22"/>
        </w:rPr>
        <w:t>.</w:t>
      </w:r>
    </w:p>
    <w:p w14:paraId="4421D194" w14:textId="77777777" w:rsidR="00AF7B36" w:rsidRPr="0014042A" w:rsidRDefault="00AF7B36" w:rsidP="00831676">
      <w:pPr>
        <w:pStyle w:val="Default0"/>
        <w:rPr>
          <w:sz w:val="22"/>
          <w:szCs w:val="22"/>
        </w:rPr>
      </w:pPr>
    </w:p>
    <w:p w14:paraId="6071E851" w14:textId="0AEDE1CF" w:rsidR="00AF7B36" w:rsidRPr="00EF1053" w:rsidRDefault="00AF7B36" w:rsidP="00AF7B36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rPr>
          <w:rFonts w:cs="Arial"/>
          <w:szCs w:val="22"/>
        </w:rPr>
      </w:pPr>
      <w:r w:rsidRPr="00EF1053">
        <w:rPr>
          <w:rFonts w:cs="Arial"/>
          <w:szCs w:val="22"/>
        </w:rPr>
        <w:t xml:space="preserve">Annexe A shows the scales for clinical academic </w:t>
      </w:r>
      <w:r w:rsidRPr="00E42A53">
        <w:rPr>
          <w:rFonts w:cs="Arial"/>
          <w:szCs w:val="22"/>
        </w:rPr>
        <w:t xml:space="preserve">staff (grades A62, </w:t>
      </w:r>
      <w:r w:rsidR="00E42A53" w:rsidRPr="00E42A53">
        <w:rPr>
          <w:rFonts w:cs="Arial"/>
          <w:szCs w:val="22"/>
        </w:rPr>
        <w:t xml:space="preserve">A63, </w:t>
      </w:r>
      <w:r w:rsidRPr="00E42A53">
        <w:rPr>
          <w:rFonts w:cs="Arial"/>
          <w:szCs w:val="22"/>
        </w:rPr>
        <w:t xml:space="preserve">A67, </w:t>
      </w:r>
      <w:r w:rsidR="00E42A53" w:rsidRPr="00E42A53">
        <w:rPr>
          <w:rFonts w:cs="Arial"/>
          <w:szCs w:val="22"/>
        </w:rPr>
        <w:t xml:space="preserve">A68, </w:t>
      </w:r>
      <w:r w:rsidRPr="00E42A53">
        <w:rPr>
          <w:rFonts w:cs="Arial"/>
          <w:szCs w:val="22"/>
        </w:rPr>
        <w:t>A70, A80 and A82).</w:t>
      </w:r>
    </w:p>
    <w:p w14:paraId="0CEA4531" w14:textId="62FC7AFE" w:rsidR="00AF7B36" w:rsidRPr="00EF1053" w:rsidRDefault="00AF7B36" w:rsidP="00AF7B36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autoSpaceDE w:val="0"/>
        <w:autoSpaceDN w:val="0"/>
        <w:adjustRightInd w:val="0"/>
        <w:spacing w:line="240" w:lineRule="atLeast"/>
        <w:rPr>
          <w:rFonts w:cs="Arial"/>
          <w:szCs w:val="22"/>
        </w:rPr>
      </w:pPr>
      <w:r w:rsidRPr="00EF1053">
        <w:rPr>
          <w:rFonts w:cs="Arial"/>
          <w:szCs w:val="22"/>
        </w:rPr>
        <w:t xml:space="preserve">Annexe B shows the scales for Oxford clinical research </w:t>
      </w:r>
      <w:r w:rsidRPr="00E42A53">
        <w:rPr>
          <w:rFonts w:cs="Arial"/>
          <w:szCs w:val="22"/>
        </w:rPr>
        <w:t xml:space="preserve">staff (grades E62, </w:t>
      </w:r>
      <w:r w:rsidR="00E42A53" w:rsidRPr="00E42A53">
        <w:rPr>
          <w:rFonts w:cs="Arial"/>
          <w:szCs w:val="22"/>
        </w:rPr>
        <w:t xml:space="preserve">E63, </w:t>
      </w:r>
      <w:r w:rsidRPr="00E42A53">
        <w:rPr>
          <w:rFonts w:cs="Arial"/>
          <w:szCs w:val="22"/>
        </w:rPr>
        <w:t>E64, E65, E66, E71 and E82).</w:t>
      </w:r>
    </w:p>
    <w:p w14:paraId="126D3382" w14:textId="445646D7" w:rsidR="00AF7B36" w:rsidRPr="00B34364" w:rsidRDefault="00AF7B36" w:rsidP="00AF7B36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autoSpaceDE w:val="0"/>
        <w:autoSpaceDN w:val="0"/>
        <w:adjustRightInd w:val="0"/>
        <w:spacing w:line="240" w:lineRule="atLeast"/>
        <w:rPr>
          <w:rFonts w:cs="Arial"/>
          <w:szCs w:val="22"/>
        </w:rPr>
      </w:pPr>
      <w:r w:rsidRPr="00B34364">
        <w:rPr>
          <w:rFonts w:cs="Arial"/>
          <w:szCs w:val="22"/>
        </w:rPr>
        <w:lastRenderedPageBreak/>
        <w:t xml:space="preserve">The </w:t>
      </w:r>
      <w:r w:rsidR="007C66F5">
        <w:rPr>
          <w:rFonts w:cs="Arial"/>
          <w:szCs w:val="22"/>
        </w:rPr>
        <w:t xml:space="preserve">current </w:t>
      </w:r>
      <w:r w:rsidRPr="00B34364">
        <w:rPr>
          <w:rFonts w:cs="Arial"/>
          <w:szCs w:val="22"/>
        </w:rPr>
        <w:t>pay progression arrangements for holders of old consultant contracts who transfer to the new contract are annexed at C.</w:t>
      </w:r>
    </w:p>
    <w:p w14:paraId="025DB961" w14:textId="7F7A31FF" w:rsidR="00AF7B36" w:rsidRPr="00EF1053" w:rsidRDefault="00AF7B36" w:rsidP="00AF7B36">
      <w:pPr>
        <w:pStyle w:val="Default0"/>
        <w:rPr>
          <w:sz w:val="22"/>
          <w:szCs w:val="22"/>
        </w:rPr>
      </w:pPr>
      <w:r w:rsidRPr="00B34364">
        <w:rPr>
          <w:sz w:val="22"/>
          <w:szCs w:val="22"/>
        </w:rPr>
        <w:t xml:space="preserve">The </w:t>
      </w:r>
      <w:r w:rsidR="007C66F5">
        <w:rPr>
          <w:sz w:val="22"/>
          <w:szCs w:val="22"/>
        </w:rPr>
        <w:t xml:space="preserve">current </w:t>
      </w:r>
      <w:r w:rsidRPr="00B34364">
        <w:rPr>
          <w:sz w:val="22"/>
          <w:szCs w:val="22"/>
        </w:rPr>
        <w:t>pay progression arrangements for holders of new consultant contracts are annexed at D</w:t>
      </w:r>
      <w:r w:rsidR="0014042A" w:rsidRPr="00B34364">
        <w:rPr>
          <w:sz w:val="22"/>
          <w:szCs w:val="22"/>
        </w:rPr>
        <w:t>.</w:t>
      </w:r>
    </w:p>
    <w:p w14:paraId="609D65B9" w14:textId="77777777" w:rsidR="00AF7B36" w:rsidRPr="00EF1053" w:rsidRDefault="00AF7B36" w:rsidP="00AF7B36">
      <w:pPr>
        <w:pStyle w:val="Default0"/>
        <w:rPr>
          <w:sz w:val="22"/>
          <w:szCs w:val="22"/>
        </w:rPr>
      </w:pPr>
    </w:p>
    <w:p w14:paraId="11545FDA" w14:textId="37CE85F8" w:rsidR="00AF7B36" w:rsidRDefault="00E42A53" w:rsidP="00AF7B36">
      <w:pPr>
        <w:pStyle w:val="Default0"/>
        <w:rPr>
          <w:sz w:val="22"/>
          <w:szCs w:val="22"/>
        </w:rPr>
      </w:pPr>
      <w:r w:rsidRPr="00B34364">
        <w:rPr>
          <w:sz w:val="22"/>
          <w:szCs w:val="22"/>
        </w:rPr>
        <w:t>R</w:t>
      </w:r>
      <w:r w:rsidR="00AF7B36" w:rsidRPr="00B34364">
        <w:rPr>
          <w:sz w:val="22"/>
          <w:szCs w:val="22"/>
        </w:rPr>
        <w:t>ates for Clinical Excellence Awards and Clinical Distinction Awards</w:t>
      </w:r>
      <w:r w:rsidR="000C00FF" w:rsidRPr="00B34364">
        <w:rPr>
          <w:sz w:val="22"/>
          <w:szCs w:val="22"/>
        </w:rPr>
        <w:t xml:space="preserve">, which </w:t>
      </w:r>
      <w:r w:rsidR="007C66F5">
        <w:rPr>
          <w:sz w:val="22"/>
          <w:szCs w:val="22"/>
        </w:rPr>
        <w:t xml:space="preserve">currently </w:t>
      </w:r>
      <w:r w:rsidR="000C00FF" w:rsidRPr="00B34364">
        <w:rPr>
          <w:sz w:val="22"/>
          <w:szCs w:val="22"/>
        </w:rPr>
        <w:t>all remain unchanged,</w:t>
      </w:r>
      <w:r w:rsidR="00AF7B36" w:rsidRPr="00B34364">
        <w:rPr>
          <w:sz w:val="22"/>
          <w:szCs w:val="22"/>
        </w:rPr>
        <w:t xml:space="preserve"> are annexed at E.</w:t>
      </w:r>
    </w:p>
    <w:p w14:paraId="08F642A7" w14:textId="77C25517" w:rsidR="0019279D" w:rsidRDefault="0019279D" w:rsidP="00AF7B36">
      <w:pPr>
        <w:pStyle w:val="Default0"/>
        <w:rPr>
          <w:sz w:val="22"/>
          <w:szCs w:val="22"/>
        </w:rPr>
      </w:pPr>
    </w:p>
    <w:p w14:paraId="75475DE5" w14:textId="57D8A5E7" w:rsidR="0019279D" w:rsidRDefault="0019279D" w:rsidP="00AF7B36">
      <w:pPr>
        <w:pStyle w:val="Default0"/>
        <w:rPr>
          <w:sz w:val="22"/>
          <w:szCs w:val="22"/>
        </w:rPr>
      </w:pPr>
      <w:r>
        <w:rPr>
          <w:sz w:val="22"/>
          <w:szCs w:val="22"/>
        </w:rPr>
        <w:t>The University pay</w:t>
      </w:r>
      <w:r w:rsidR="00E57FA0">
        <w:rPr>
          <w:sz w:val="22"/>
          <w:szCs w:val="22"/>
        </w:rPr>
        <w:t>s</w:t>
      </w:r>
      <w:r>
        <w:rPr>
          <w:sz w:val="22"/>
          <w:szCs w:val="22"/>
        </w:rPr>
        <w:t xml:space="preserve"> premia for clinical academia</w:t>
      </w:r>
      <w:r w:rsidR="0020770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9279D">
        <w:rPr>
          <w:sz w:val="22"/>
          <w:szCs w:val="22"/>
        </w:rPr>
        <w:t>to staff on grades A63 and E63 who have successfully completed a higher degree and returned to clinical training</w:t>
      </w:r>
      <w:r>
        <w:rPr>
          <w:sz w:val="22"/>
          <w:szCs w:val="22"/>
        </w:rPr>
        <w:t>. It also pays premia for clinical specialities</w:t>
      </w:r>
      <w:r w:rsidR="00207704">
        <w:rPr>
          <w:sz w:val="22"/>
          <w:szCs w:val="22"/>
        </w:rPr>
        <w:t>,</w:t>
      </w:r>
      <w:r>
        <w:rPr>
          <w:sz w:val="22"/>
          <w:szCs w:val="22"/>
        </w:rPr>
        <w:t xml:space="preserve"> to </w:t>
      </w:r>
      <w:r w:rsidRPr="0019279D">
        <w:rPr>
          <w:sz w:val="22"/>
          <w:szCs w:val="22"/>
        </w:rPr>
        <w:t>staff on grades A63 and E63 who are in hard to fill training programme</w:t>
      </w:r>
      <w:r w:rsidR="00E57FA0">
        <w:rPr>
          <w:sz w:val="22"/>
          <w:szCs w:val="22"/>
        </w:rPr>
        <w:t>s</w:t>
      </w:r>
      <w:r w:rsidRPr="0019279D">
        <w:rPr>
          <w:sz w:val="22"/>
          <w:szCs w:val="22"/>
        </w:rPr>
        <w:t xml:space="preserve"> as defined by the NHS.</w:t>
      </w:r>
      <w:r w:rsidR="00DC369D" w:rsidRPr="00DC369D">
        <w:t xml:space="preserve"> </w:t>
      </w:r>
      <w:r>
        <w:rPr>
          <w:sz w:val="22"/>
          <w:szCs w:val="22"/>
        </w:rPr>
        <w:t>These premia have increased by 2% and are annexed at F.</w:t>
      </w:r>
    </w:p>
    <w:p w14:paraId="409A99E8" w14:textId="08821684" w:rsidR="00B12226" w:rsidRDefault="005A4364" w:rsidP="00B12226">
      <w:pPr>
        <w:pStyle w:val="CircularName"/>
      </w:pPr>
      <w:r>
        <w:t>JULIAN DUXFIELD</w:t>
      </w:r>
      <w:bookmarkStart w:id="0" w:name="_GoBack"/>
      <w:bookmarkEnd w:id="0"/>
    </w:p>
    <w:p w14:paraId="060F3812" w14:textId="77777777" w:rsidR="00B12226" w:rsidRDefault="00B12226" w:rsidP="00B12226">
      <w:pPr>
        <w:pStyle w:val="CircularName"/>
      </w:pPr>
    </w:p>
    <w:p w14:paraId="10E6B567" w14:textId="20F0AB1D" w:rsidR="00B12226" w:rsidRDefault="00B12226" w:rsidP="00B12226">
      <w:pPr>
        <w:tabs>
          <w:tab w:val="left" w:pos="4680"/>
        </w:tabs>
        <w:jc w:val="right"/>
        <w:rPr>
          <w:i/>
          <w:iCs/>
          <w:szCs w:val="21"/>
        </w:rPr>
      </w:pPr>
      <w:r>
        <w:rPr>
          <w:i/>
          <w:iCs/>
          <w:szCs w:val="21"/>
        </w:rPr>
        <w:t>Replaces existing circular: PERS(1</w:t>
      </w:r>
      <w:r w:rsidR="007C66F5">
        <w:rPr>
          <w:i/>
          <w:iCs/>
          <w:szCs w:val="21"/>
        </w:rPr>
        <w:t>9</w:t>
      </w:r>
      <w:r>
        <w:rPr>
          <w:i/>
          <w:iCs/>
          <w:szCs w:val="21"/>
        </w:rPr>
        <w:t>)</w:t>
      </w:r>
      <w:r w:rsidR="00E42A53">
        <w:rPr>
          <w:i/>
          <w:iCs/>
          <w:szCs w:val="21"/>
        </w:rPr>
        <w:t>0</w:t>
      </w:r>
      <w:r w:rsidR="007C66F5">
        <w:rPr>
          <w:i/>
          <w:iCs/>
          <w:szCs w:val="21"/>
        </w:rPr>
        <w:t>7</w:t>
      </w:r>
      <w:r>
        <w:rPr>
          <w:i/>
          <w:iCs/>
          <w:szCs w:val="21"/>
        </w:rPr>
        <w:br/>
        <w:t>Copy for noticeboards: Yes</w:t>
      </w:r>
      <w:r>
        <w:rPr>
          <w:i/>
          <w:iCs/>
          <w:szCs w:val="21"/>
        </w:rPr>
        <w:br/>
        <w:t>Website:</w:t>
      </w:r>
      <w:r>
        <w:t xml:space="preserve"> </w:t>
      </w:r>
      <w:hyperlink r:id="rId8" w:history="1">
        <w:r w:rsidR="00F01E15" w:rsidRPr="00F01E15">
          <w:rPr>
            <w:color w:val="0000FF"/>
            <w:u w:val="single"/>
          </w:rPr>
          <w:t>http</w:t>
        </w:r>
        <w:r w:rsidR="00F01E15" w:rsidRPr="00F01E15">
          <w:rPr>
            <w:color w:val="0000FF"/>
            <w:u w:val="single"/>
          </w:rPr>
          <w:t>s</w:t>
        </w:r>
        <w:r w:rsidR="00F01E15" w:rsidRPr="00F01E15">
          <w:rPr>
            <w:color w:val="0000FF"/>
            <w:u w:val="single"/>
          </w:rPr>
          <w:t>://hr.admin.ox.ac.uk/circulars-0</w:t>
        </w:r>
      </w:hyperlink>
    </w:p>
    <w:p w14:paraId="7DC9DFFE" w14:textId="28B78105" w:rsidR="00B12226" w:rsidRDefault="00A2783B" w:rsidP="00B12226">
      <w:pPr>
        <w:rPr>
          <w:sz w:val="20"/>
        </w:rPr>
      </w:pPr>
      <w:r>
        <w:rPr>
          <w:sz w:val="20"/>
        </w:rPr>
        <w:t>AJWD/</w:t>
      </w:r>
      <w:r w:rsidR="007F5402">
        <w:rPr>
          <w:sz w:val="20"/>
        </w:rPr>
        <w:t>SJK</w:t>
      </w:r>
      <w:r w:rsidR="003F2779">
        <w:rPr>
          <w:sz w:val="20"/>
        </w:rPr>
        <w:t xml:space="preserve"> </w:t>
      </w:r>
      <w:r w:rsidR="00B12226">
        <w:rPr>
          <w:sz w:val="20"/>
        </w:rPr>
        <w:br/>
        <w:t xml:space="preserve"> </w:t>
      </w:r>
    </w:p>
    <w:sectPr w:rsidR="00B12226" w:rsidSect="00D75F13">
      <w:head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2381" w:right="1134" w:bottom="1418" w:left="1418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9564E" w14:textId="77777777" w:rsidR="00C06C7B" w:rsidRDefault="00C06C7B" w:rsidP="00F1604F">
      <w:pPr>
        <w:spacing w:after="0"/>
      </w:pPr>
      <w:r>
        <w:separator/>
      </w:r>
    </w:p>
  </w:endnote>
  <w:endnote w:type="continuationSeparator" w:id="0">
    <w:p w14:paraId="35A7B15A" w14:textId="77777777" w:rsidR="00C06C7B" w:rsidRDefault="00C06C7B" w:rsidP="00F160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AEEDE" w14:textId="77777777" w:rsidR="00F5786E" w:rsidRDefault="00F5786E">
    <w:pPr>
      <w:pStyle w:val="Footer"/>
    </w:pPr>
    <w:r>
      <w:t xml:space="preserve">Personnel Assistant: +44 (0)1865 270122  Direct Line Tel: +44 (0)1865 270152  </w:t>
    </w:r>
  </w:p>
  <w:p w14:paraId="182A9192" w14:textId="77777777" w:rsidR="00F5786E" w:rsidRDefault="00F5786E">
    <w:pPr>
      <w:pStyle w:val="Footer"/>
      <w:spacing w:before="0"/>
    </w:pPr>
    <w:r>
      <w:t>Fax: +44 (0)1865 280462  Email: julian.duxfield@admin.ox.ac.uk  Web: www.admin.ox.ac.uk/ps/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46CC1" w14:textId="77777777" w:rsidR="00C06C7B" w:rsidRDefault="00C06C7B">
      <w:pPr>
        <w:pStyle w:val="FootnoteSeparator"/>
      </w:pPr>
    </w:p>
  </w:footnote>
  <w:footnote w:type="continuationSeparator" w:id="0">
    <w:p w14:paraId="3AD4A26B" w14:textId="77777777" w:rsidR="00C06C7B" w:rsidRDefault="00C06C7B">
      <w:pPr>
        <w:pStyle w:val="FootnoteSeparator"/>
      </w:pPr>
    </w:p>
  </w:footnote>
  <w:footnote w:type="continuationNotice" w:id="1">
    <w:p w14:paraId="495D7CAD" w14:textId="77777777" w:rsidR="00C06C7B" w:rsidRDefault="00C06C7B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52C39" w14:textId="68CEB8AE" w:rsidR="00F5786E" w:rsidRDefault="00D31CDF">
    <w:pPr>
      <w:pStyle w:val="Header"/>
    </w:pPr>
    <w:r>
      <w:fldChar w:fldCharType="begin"/>
    </w:r>
    <w:r w:rsidR="009C26BF">
      <w:instrText xml:space="preserve"> PAGE </w:instrText>
    </w:r>
    <w:r>
      <w:fldChar w:fldCharType="separate"/>
    </w:r>
    <w:r w:rsidR="00CD788B">
      <w:rPr>
        <w:noProof/>
      </w:rPr>
      <w:t>2</w:t>
    </w:r>
    <w:r>
      <w:rPr>
        <w:noProof/>
      </w:rPr>
      <w:fldChar w:fldCharType="end"/>
    </w:r>
    <w:r w:rsidR="00F5786E">
      <w:rPr>
        <w:noProof/>
        <w:lang w:eastAsia="en-GB"/>
      </w:rPr>
      <w:drawing>
        <wp:anchor distT="0" distB="0" distL="0" distR="0" simplePos="0" relativeHeight="251658752" behindDoc="0" locked="0" layoutInCell="0" allowOverlap="0" wp14:anchorId="397FDB68" wp14:editId="7910F361">
          <wp:simplePos x="0" y="0"/>
          <wp:positionH relativeFrom="column">
            <wp:align>right</wp:align>
          </wp:positionH>
          <wp:positionV relativeFrom="paragraph">
            <wp:posOffset>28575</wp:posOffset>
          </wp:positionV>
          <wp:extent cx="723900" cy="723900"/>
          <wp:effectExtent l="19050" t="0" r="0" b="0"/>
          <wp:wrapSquare wrapText="left"/>
          <wp:docPr id="8" name="Picture 8" descr="ox_smallbrand_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x_smallbrand_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3562" w14:textId="77777777" w:rsidR="00F5786E" w:rsidRDefault="00866F6F">
    <w:pPr>
      <w:pStyle w:val="OXTIT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A55BED6" wp14:editId="6686CF1D">
              <wp:simplePos x="0" y="0"/>
              <wp:positionH relativeFrom="column">
                <wp:posOffset>-720725</wp:posOffset>
              </wp:positionH>
              <wp:positionV relativeFrom="page">
                <wp:posOffset>3420745</wp:posOffset>
              </wp:positionV>
              <wp:extent cx="1524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C489D" w14:textId="77777777" w:rsidR="00F5786E" w:rsidRDefault="00F5786E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5BE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6.75pt;margin-top:269.35pt;width:1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HUqA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" filled="f" stroked="f">
              <v:textbox inset="0,0,0,0">
                <w:txbxContent>
                  <w:p w14:paraId="686C489D" w14:textId="77777777" w:rsidR="00F5786E" w:rsidRDefault="00F5786E">
                    <w:r>
                      <w:t>_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5786E">
      <w:rPr>
        <w:noProof/>
      </w:rPr>
      <w:drawing>
        <wp:anchor distT="0" distB="0" distL="114300" distR="114300" simplePos="0" relativeHeight="251656704" behindDoc="0" locked="1" layoutInCell="1" allowOverlap="0" wp14:anchorId="5CC46E4A" wp14:editId="76C7F627">
          <wp:simplePos x="0" y="0"/>
          <wp:positionH relativeFrom="column">
            <wp:posOffset>4788535</wp:posOffset>
          </wp:positionH>
          <wp:positionV relativeFrom="page">
            <wp:posOffset>466725</wp:posOffset>
          </wp:positionV>
          <wp:extent cx="1152525" cy="1476375"/>
          <wp:effectExtent l="19050" t="0" r="9525" b="0"/>
          <wp:wrapSquare wrapText="left"/>
          <wp:docPr id="6" name="Picture 6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786E">
      <w:t>Personnel Services</w:t>
    </w:r>
  </w:p>
  <w:p w14:paraId="5E55C139" w14:textId="77777777" w:rsidR="00F5786E" w:rsidRDefault="00F5786E">
    <w:pPr>
      <w:pStyle w:val="OXADDRESS"/>
    </w:pPr>
    <w:r>
      <w:t xml:space="preserve">University Offices, Wellington Square, Oxford </w:t>
    </w:r>
    <w:r>
      <w:rPr>
        <w:rStyle w:val="OXPOSTCODE"/>
      </w:rPr>
      <w:t>OX1 2JD</w:t>
    </w:r>
  </w:p>
  <w:p w14:paraId="1AE292A2" w14:textId="77777777" w:rsidR="00F5786E" w:rsidRDefault="00F5786E">
    <w:pPr>
      <w:pStyle w:val="OXADDRESS"/>
    </w:pPr>
    <w:r w:rsidRPr="000C4721">
      <w:t xml:space="preserve">Director of </w:t>
    </w:r>
    <w:r w:rsidR="00B87524">
      <w:t>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1E4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7EA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0E80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67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6E8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01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E0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BE8B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C8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E8F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14DA"/>
    <w:multiLevelType w:val="multilevel"/>
    <w:tmpl w:val="947C020A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1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64D51"/>
    <w:multiLevelType w:val="multilevel"/>
    <w:tmpl w:val="44CA8EA4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25D61"/>
    <w:multiLevelType w:val="hybridMultilevel"/>
    <w:tmpl w:val="F02C6ED2"/>
    <w:lvl w:ilvl="0" w:tplc="956279D2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646914"/>
    <w:multiLevelType w:val="hybridMultilevel"/>
    <w:tmpl w:val="C5D284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E684A"/>
    <w:multiLevelType w:val="hybridMultilevel"/>
    <w:tmpl w:val="7592D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8"/>
  </w:num>
  <w:num w:numId="5">
    <w:abstractNumId w:val="14"/>
  </w:num>
  <w:num w:numId="6">
    <w:abstractNumId w:val="21"/>
  </w:num>
  <w:num w:numId="7">
    <w:abstractNumId w:val="16"/>
  </w:num>
  <w:num w:numId="8">
    <w:abstractNumId w:val="22"/>
  </w:num>
  <w:num w:numId="9">
    <w:abstractNumId w:val="23"/>
  </w:num>
  <w:num w:numId="10">
    <w:abstractNumId w:val="11"/>
  </w:num>
  <w:num w:numId="11">
    <w:abstractNumId w:val="17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0"/>
  </w:num>
  <w:num w:numId="33">
    <w:abstractNumId w:val="25"/>
  </w:num>
  <w:num w:numId="34">
    <w:abstractNumId w:val="19"/>
  </w:num>
  <w:num w:numId="35">
    <w:abstractNumId w:val="1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1"/>
  <w:proofState w:spelling="clean"/>
  <w:trackRevisions/>
  <w:defaultTabStop w:val="57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21"/>
    <w:rsid w:val="0000418A"/>
    <w:rsid w:val="000049F0"/>
    <w:rsid w:val="00005D9E"/>
    <w:rsid w:val="00020A37"/>
    <w:rsid w:val="000320EB"/>
    <w:rsid w:val="00032314"/>
    <w:rsid w:val="00042E52"/>
    <w:rsid w:val="000829D1"/>
    <w:rsid w:val="00083565"/>
    <w:rsid w:val="00096D6B"/>
    <w:rsid w:val="000C00FF"/>
    <w:rsid w:val="000C0176"/>
    <w:rsid w:val="000C4721"/>
    <w:rsid w:val="000C6325"/>
    <w:rsid w:val="000D6D77"/>
    <w:rsid w:val="000E0A93"/>
    <w:rsid w:val="000E4624"/>
    <w:rsid w:val="00100FB1"/>
    <w:rsid w:val="0010628A"/>
    <w:rsid w:val="001221D0"/>
    <w:rsid w:val="00125198"/>
    <w:rsid w:val="0014042A"/>
    <w:rsid w:val="001663A4"/>
    <w:rsid w:val="001757A1"/>
    <w:rsid w:val="001773DA"/>
    <w:rsid w:val="00183BF4"/>
    <w:rsid w:val="0019279D"/>
    <w:rsid w:val="001930CF"/>
    <w:rsid w:val="00195DA8"/>
    <w:rsid w:val="001A3964"/>
    <w:rsid w:val="001C1118"/>
    <w:rsid w:val="001C502C"/>
    <w:rsid w:val="001E7EEA"/>
    <w:rsid w:val="00207704"/>
    <w:rsid w:val="00226F64"/>
    <w:rsid w:val="0022721A"/>
    <w:rsid w:val="002713E5"/>
    <w:rsid w:val="00293B7E"/>
    <w:rsid w:val="002A4361"/>
    <w:rsid w:val="002A5320"/>
    <w:rsid w:val="002D3905"/>
    <w:rsid w:val="00333A4A"/>
    <w:rsid w:val="0033609E"/>
    <w:rsid w:val="00341CC1"/>
    <w:rsid w:val="00345BCA"/>
    <w:rsid w:val="00351F5E"/>
    <w:rsid w:val="00365072"/>
    <w:rsid w:val="00377C7B"/>
    <w:rsid w:val="00382E5E"/>
    <w:rsid w:val="003C0273"/>
    <w:rsid w:val="003D4EDC"/>
    <w:rsid w:val="003E3E36"/>
    <w:rsid w:val="003F2779"/>
    <w:rsid w:val="004250C8"/>
    <w:rsid w:val="00492D82"/>
    <w:rsid w:val="004953D0"/>
    <w:rsid w:val="004A1E60"/>
    <w:rsid w:val="004A51EC"/>
    <w:rsid w:val="004C7BF5"/>
    <w:rsid w:val="004D0942"/>
    <w:rsid w:val="004D1F25"/>
    <w:rsid w:val="004F33A5"/>
    <w:rsid w:val="00514375"/>
    <w:rsid w:val="00523FB5"/>
    <w:rsid w:val="005521D3"/>
    <w:rsid w:val="00560DED"/>
    <w:rsid w:val="00574EFC"/>
    <w:rsid w:val="00575C33"/>
    <w:rsid w:val="005A4364"/>
    <w:rsid w:val="005B4BF3"/>
    <w:rsid w:val="005D76F2"/>
    <w:rsid w:val="00606CAF"/>
    <w:rsid w:val="006242D3"/>
    <w:rsid w:val="0063555A"/>
    <w:rsid w:val="00635809"/>
    <w:rsid w:val="00644132"/>
    <w:rsid w:val="00671AF6"/>
    <w:rsid w:val="00684CF4"/>
    <w:rsid w:val="006A7A76"/>
    <w:rsid w:val="006D06E3"/>
    <w:rsid w:val="006E7226"/>
    <w:rsid w:val="006F735E"/>
    <w:rsid w:val="00702E59"/>
    <w:rsid w:val="00723A1E"/>
    <w:rsid w:val="00726464"/>
    <w:rsid w:val="00772D76"/>
    <w:rsid w:val="007A2A22"/>
    <w:rsid w:val="007B19CA"/>
    <w:rsid w:val="007B506D"/>
    <w:rsid w:val="007C66F5"/>
    <w:rsid w:val="007D1A99"/>
    <w:rsid w:val="007D4439"/>
    <w:rsid w:val="007F5402"/>
    <w:rsid w:val="007F7B17"/>
    <w:rsid w:val="00800273"/>
    <w:rsid w:val="00814D76"/>
    <w:rsid w:val="00831676"/>
    <w:rsid w:val="0083627F"/>
    <w:rsid w:val="00844F0E"/>
    <w:rsid w:val="00866F6F"/>
    <w:rsid w:val="00871C98"/>
    <w:rsid w:val="00883F7C"/>
    <w:rsid w:val="00895758"/>
    <w:rsid w:val="008B53F0"/>
    <w:rsid w:val="008F4285"/>
    <w:rsid w:val="009115F1"/>
    <w:rsid w:val="00913D55"/>
    <w:rsid w:val="00913F06"/>
    <w:rsid w:val="0091500E"/>
    <w:rsid w:val="009364BC"/>
    <w:rsid w:val="0097435A"/>
    <w:rsid w:val="009C26BF"/>
    <w:rsid w:val="009C6BBE"/>
    <w:rsid w:val="009D3074"/>
    <w:rsid w:val="009E2E17"/>
    <w:rsid w:val="009E314D"/>
    <w:rsid w:val="00A01996"/>
    <w:rsid w:val="00A22B92"/>
    <w:rsid w:val="00A2783B"/>
    <w:rsid w:val="00A35E7E"/>
    <w:rsid w:val="00A4168A"/>
    <w:rsid w:val="00A57732"/>
    <w:rsid w:val="00A578AE"/>
    <w:rsid w:val="00A67221"/>
    <w:rsid w:val="00A9055C"/>
    <w:rsid w:val="00A926D7"/>
    <w:rsid w:val="00AA56AE"/>
    <w:rsid w:val="00AB0539"/>
    <w:rsid w:val="00AB05D2"/>
    <w:rsid w:val="00AE4EEC"/>
    <w:rsid w:val="00AF6B1F"/>
    <w:rsid w:val="00AF7B36"/>
    <w:rsid w:val="00B12226"/>
    <w:rsid w:val="00B14469"/>
    <w:rsid w:val="00B146C6"/>
    <w:rsid w:val="00B16059"/>
    <w:rsid w:val="00B223B3"/>
    <w:rsid w:val="00B34364"/>
    <w:rsid w:val="00B54DAC"/>
    <w:rsid w:val="00B8436E"/>
    <w:rsid w:val="00B87524"/>
    <w:rsid w:val="00B9308B"/>
    <w:rsid w:val="00B96FEB"/>
    <w:rsid w:val="00BB6D76"/>
    <w:rsid w:val="00BC2C5A"/>
    <w:rsid w:val="00BC542A"/>
    <w:rsid w:val="00BF30F6"/>
    <w:rsid w:val="00C00C12"/>
    <w:rsid w:val="00C015E8"/>
    <w:rsid w:val="00C06C7B"/>
    <w:rsid w:val="00C101F1"/>
    <w:rsid w:val="00C10A78"/>
    <w:rsid w:val="00C140C9"/>
    <w:rsid w:val="00C23EE6"/>
    <w:rsid w:val="00C4486B"/>
    <w:rsid w:val="00C45AC9"/>
    <w:rsid w:val="00C50AA1"/>
    <w:rsid w:val="00C61737"/>
    <w:rsid w:val="00C80C74"/>
    <w:rsid w:val="00C834ED"/>
    <w:rsid w:val="00C92C0D"/>
    <w:rsid w:val="00CB2D30"/>
    <w:rsid w:val="00CD788B"/>
    <w:rsid w:val="00CE1F44"/>
    <w:rsid w:val="00CF1D3C"/>
    <w:rsid w:val="00CF6E98"/>
    <w:rsid w:val="00D0458F"/>
    <w:rsid w:val="00D047F3"/>
    <w:rsid w:val="00D12422"/>
    <w:rsid w:val="00D12830"/>
    <w:rsid w:val="00D1328D"/>
    <w:rsid w:val="00D31CDF"/>
    <w:rsid w:val="00D41C7B"/>
    <w:rsid w:val="00D62CCC"/>
    <w:rsid w:val="00D75F13"/>
    <w:rsid w:val="00D96EFC"/>
    <w:rsid w:val="00DC369D"/>
    <w:rsid w:val="00DD7C4E"/>
    <w:rsid w:val="00DE3EEE"/>
    <w:rsid w:val="00DE533C"/>
    <w:rsid w:val="00E019AF"/>
    <w:rsid w:val="00E07976"/>
    <w:rsid w:val="00E12B6E"/>
    <w:rsid w:val="00E1745B"/>
    <w:rsid w:val="00E215D8"/>
    <w:rsid w:val="00E3086E"/>
    <w:rsid w:val="00E31752"/>
    <w:rsid w:val="00E42A53"/>
    <w:rsid w:val="00E436FD"/>
    <w:rsid w:val="00E43D99"/>
    <w:rsid w:val="00E57FA0"/>
    <w:rsid w:val="00E65BE8"/>
    <w:rsid w:val="00E72E9A"/>
    <w:rsid w:val="00E85092"/>
    <w:rsid w:val="00E92DF4"/>
    <w:rsid w:val="00E95B39"/>
    <w:rsid w:val="00E96D6B"/>
    <w:rsid w:val="00EB0806"/>
    <w:rsid w:val="00ED26C0"/>
    <w:rsid w:val="00EF1053"/>
    <w:rsid w:val="00EF25D7"/>
    <w:rsid w:val="00EF4755"/>
    <w:rsid w:val="00EF7285"/>
    <w:rsid w:val="00F01E15"/>
    <w:rsid w:val="00F020E0"/>
    <w:rsid w:val="00F1604F"/>
    <w:rsid w:val="00F246CF"/>
    <w:rsid w:val="00F25EBD"/>
    <w:rsid w:val="00F25EC3"/>
    <w:rsid w:val="00F332BD"/>
    <w:rsid w:val="00F34F8B"/>
    <w:rsid w:val="00F45686"/>
    <w:rsid w:val="00F5786E"/>
    <w:rsid w:val="00F726B7"/>
    <w:rsid w:val="00F93DF4"/>
    <w:rsid w:val="00FA272A"/>
    <w:rsid w:val="00FB1E38"/>
    <w:rsid w:val="00FD0308"/>
    <w:rsid w:val="00FD7160"/>
    <w:rsid w:val="00FE5674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CE72408"/>
  <w15:docId w15:val="{15BD6D16-5896-47DB-877D-2A4127ED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D6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96D6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96D6B"/>
    <w:pPr>
      <w:keepNext/>
      <w:numPr>
        <w:ilvl w:val="1"/>
        <w:numId w:val="3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096D6B"/>
    <w:pPr>
      <w:keepNext/>
      <w:numPr>
        <w:ilvl w:val="2"/>
        <w:numId w:val="3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096D6B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96D6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6D6B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96D6B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96D6B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96D6B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  <w:rsid w:val="00096D6B"/>
  </w:style>
  <w:style w:type="paragraph" w:customStyle="1" w:styleId="Hidden">
    <w:name w:val="Hidden"/>
    <w:basedOn w:val="Normal"/>
    <w:rsid w:val="00096D6B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rsid w:val="00096D6B"/>
    <w:pPr>
      <w:tabs>
        <w:tab w:val="clear" w:pos="567"/>
        <w:tab w:val="clear" w:pos="1134"/>
      </w:tabs>
      <w:spacing w:after="480"/>
    </w:pPr>
  </w:style>
  <w:style w:type="paragraph" w:styleId="Footer">
    <w:name w:val="footer"/>
    <w:basedOn w:val="Normal"/>
    <w:semiHidden/>
    <w:rsid w:val="00096D6B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096D6B"/>
  </w:style>
  <w:style w:type="paragraph" w:styleId="FootnoteText">
    <w:name w:val="footnote text"/>
    <w:basedOn w:val="Normal"/>
    <w:link w:val="FootnoteTextChar"/>
    <w:uiPriority w:val="99"/>
    <w:semiHidden/>
    <w:rsid w:val="00096D6B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uiPriority w:val="99"/>
    <w:semiHidden/>
    <w:rsid w:val="00096D6B"/>
    <w:rPr>
      <w:vertAlign w:val="superscript"/>
    </w:rPr>
  </w:style>
  <w:style w:type="paragraph" w:styleId="NoteHeading">
    <w:name w:val="Note Heading"/>
    <w:basedOn w:val="Normal"/>
    <w:next w:val="Normal"/>
    <w:semiHidden/>
    <w:rsid w:val="00096D6B"/>
    <w:pPr>
      <w:numPr>
        <w:numId w:val="21"/>
      </w:numPr>
    </w:pPr>
    <w:rPr>
      <w:color w:val="FF0000"/>
    </w:rPr>
  </w:style>
  <w:style w:type="paragraph" w:styleId="Title">
    <w:name w:val="Title"/>
    <w:basedOn w:val="Normal"/>
    <w:next w:val="Normal"/>
    <w:qFormat/>
    <w:rsid w:val="00096D6B"/>
    <w:pPr>
      <w:outlineLvl w:val="0"/>
    </w:pPr>
    <w:rPr>
      <w:rFonts w:cs="Arial"/>
      <w:b/>
      <w:bCs/>
      <w:kern w:val="28"/>
      <w:szCs w:val="32"/>
    </w:rPr>
  </w:style>
  <w:style w:type="paragraph" w:customStyle="1" w:styleId="FootnoteSeparator">
    <w:name w:val="Footnote Separator"/>
    <w:basedOn w:val="FootnoteText"/>
    <w:rsid w:val="00096D6B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rsid w:val="00096D6B"/>
    <w:pPr>
      <w:spacing w:after="0"/>
    </w:pPr>
  </w:style>
  <w:style w:type="paragraph" w:styleId="Salutation">
    <w:name w:val="Salutation"/>
    <w:basedOn w:val="Normal"/>
    <w:next w:val="Normal"/>
    <w:semiHidden/>
    <w:rsid w:val="00096D6B"/>
    <w:pPr>
      <w:spacing w:before="240"/>
    </w:pPr>
  </w:style>
  <w:style w:type="paragraph" w:customStyle="1" w:styleId="Address">
    <w:name w:val="Address"/>
    <w:basedOn w:val="Normal"/>
    <w:rsid w:val="00096D6B"/>
    <w:pPr>
      <w:spacing w:after="0"/>
      <w:ind w:left="144" w:hanging="144"/>
    </w:pPr>
  </w:style>
  <w:style w:type="paragraph" w:customStyle="1" w:styleId="LetterAddress">
    <w:name w:val="Letter Address"/>
    <w:basedOn w:val="Normal"/>
    <w:next w:val="Normal"/>
    <w:rsid w:val="00096D6B"/>
    <w:pPr>
      <w:spacing w:after="280"/>
    </w:pPr>
    <w:rPr>
      <w:szCs w:val="22"/>
    </w:rPr>
  </w:style>
  <w:style w:type="paragraph" w:customStyle="1" w:styleId="LetterFrom">
    <w:name w:val="Letter From"/>
    <w:basedOn w:val="Normal"/>
    <w:next w:val="Normal"/>
    <w:rsid w:val="00096D6B"/>
    <w:pPr>
      <w:spacing w:after="840"/>
    </w:pPr>
    <w:rPr>
      <w:szCs w:val="22"/>
    </w:rPr>
  </w:style>
  <w:style w:type="paragraph" w:customStyle="1" w:styleId="LetterFooter">
    <w:name w:val="Letter Footer"/>
    <w:basedOn w:val="Footer"/>
    <w:rsid w:val="00096D6B"/>
  </w:style>
  <w:style w:type="paragraph" w:styleId="EnvelopeAddress">
    <w:name w:val="envelope address"/>
    <w:basedOn w:val="Normal"/>
    <w:semiHidden/>
    <w:rsid w:val="00096D6B"/>
    <w:pPr>
      <w:framePr w:w="7920" w:h="1980" w:hRule="exact" w:hSpace="180" w:wrap="auto" w:hAnchor="page" w:xAlign="center" w:yAlign="bottom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96D6B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customStyle="1" w:styleId="OXTITLE">
    <w:name w:val="OX TITLE"/>
    <w:rsid w:val="00096D6B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096D6B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basedOn w:val="DefaultParagraphFont"/>
    <w:rsid w:val="00096D6B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rsid w:val="00096D6B"/>
    <w:pPr>
      <w:suppressAutoHyphens/>
    </w:pPr>
    <w:rPr>
      <w:sz w:val="24"/>
      <w:szCs w:val="24"/>
    </w:rPr>
  </w:style>
  <w:style w:type="paragraph" w:customStyle="1" w:styleId="OXREFDATE">
    <w:name w:val="OX REF/DATE"/>
    <w:basedOn w:val="Address"/>
    <w:rsid w:val="00096D6B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customStyle="1" w:styleId="OXIndividualname">
    <w:name w:val="OX Individual name"/>
    <w:basedOn w:val="OXADDRESS"/>
    <w:next w:val="OXADDRESS"/>
    <w:rsid w:val="00096D6B"/>
    <w:rPr>
      <w:b/>
    </w:rPr>
  </w:style>
  <w:style w:type="character" w:customStyle="1" w:styleId="OXIndividualsqualifications">
    <w:name w:val="OX Individual's qualifications"/>
    <w:rsid w:val="00096D6B"/>
    <w:rPr>
      <w:sz w:val="14"/>
      <w:szCs w:val="14"/>
    </w:rPr>
  </w:style>
  <w:style w:type="paragraph" w:customStyle="1" w:styleId="OXIndividaddress">
    <w:name w:val="OX Individ address"/>
    <w:basedOn w:val="OXADDRESS"/>
    <w:rsid w:val="00096D6B"/>
    <w:pPr>
      <w:spacing w:line="210" w:lineRule="exact"/>
    </w:pPr>
  </w:style>
  <w:style w:type="paragraph" w:customStyle="1" w:styleId="CircularName">
    <w:name w:val="CircularName"/>
    <w:basedOn w:val="Signature"/>
    <w:rsid w:val="00B12226"/>
    <w:pPr>
      <w:spacing w:before="480"/>
    </w:pPr>
    <w:rPr>
      <w:caps/>
      <w:sz w:val="20"/>
    </w:rPr>
  </w:style>
  <w:style w:type="paragraph" w:styleId="ListBullet">
    <w:name w:val="List Bullet"/>
    <w:basedOn w:val="Normal"/>
    <w:semiHidden/>
    <w:rsid w:val="00B12226"/>
    <w:pPr>
      <w:numPr>
        <w:numId w:val="32"/>
      </w:numPr>
      <w:tabs>
        <w:tab w:val="clear" w:pos="1134"/>
        <w:tab w:val="clear" w:pos="1701"/>
        <w:tab w:val="clear" w:pos="5670"/>
        <w:tab w:val="clear" w:pos="9356"/>
        <w:tab w:val="right" w:pos="-6840"/>
        <w:tab w:val="left" w:pos="0"/>
      </w:tabs>
    </w:pPr>
    <w:rPr>
      <w:b/>
      <w:bCs/>
    </w:rPr>
  </w:style>
  <w:style w:type="paragraph" w:styleId="ListContinue">
    <w:name w:val="List Continue"/>
    <w:basedOn w:val="Normal"/>
    <w:semiHidden/>
    <w:rsid w:val="00B12226"/>
    <w:pPr>
      <w:numPr>
        <w:ilvl w:val="1"/>
        <w:numId w:val="32"/>
      </w:numPr>
      <w:tabs>
        <w:tab w:val="clear" w:pos="1134"/>
        <w:tab w:val="clear" w:pos="1701"/>
        <w:tab w:val="clear" w:pos="5670"/>
        <w:tab w:val="clear" w:pos="9356"/>
      </w:tabs>
    </w:pPr>
  </w:style>
  <w:style w:type="paragraph" w:styleId="ListBullet2">
    <w:name w:val="List Bullet 2"/>
    <w:basedOn w:val="Normal"/>
    <w:semiHidden/>
    <w:rsid w:val="00B12226"/>
    <w:pPr>
      <w:numPr>
        <w:ilvl w:val="2"/>
        <w:numId w:val="32"/>
      </w:numPr>
      <w:tabs>
        <w:tab w:val="clear" w:pos="567"/>
        <w:tab w:val="clear" w:pos="1701"/>
        <w:tab w:val="clear" w:pos="5670"/>
        <w:tab w:val="clear" w:pos="9356"/>
      </w:tabs>
    </w:pPr>
  </w:style>
  <w:style w:type="paragraph" w:styleId="ListContinue2">
    <w:name w:val="List Continue 2"/>
    <w:basedOn w:val="Normal"/>
    <w:semiHidden/>
    <w:rsid w:val="00B12226"/>
    <w:pPr>
      <w:numPr>
        <w:ilvl w:val="3"/>
        <w:numId w:val="32"/>
      </w:numPr>
      <w:tabs>
        <w:tab w:val="clear" w:pos="1134"/>
        <w:tab w:val="clear" w:pos="1701"/>
        <w:tab w:val="clear" w:pos="5670"/>
        <w:tab w:val="clear" w:pos="9356"/>
      </w:tabs>
    </w:pPr>
  </w:style>
  <w:style w:type="character" w:styleId="Hyperlink">
    <w:name w:val="Hyperlink"/>
    <w:basedOn w:val="DefaultParagraphFont"/>
    <w:semiHidden/>
    <w:rsid w:val="00B122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7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D76F2"/>
    <w:pPr>
      <w:ind w:left="720"/>
      <w:contextualSpacing/>
    </w:pPr>
  </w:style>
  <w:style w:type="paragraph" w:styleId="Revision">
    <w:name w:val="Revision"/>
    <w:hidden/>
    <w:uiPriority w:val="99"/>
    <w:semiHidden/>
    <w:rsid w:val="00871C98"/>
    <w:rPr>
      <w:rFonts w:ascii="Arial" w:hAnsi="Arial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95D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C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86E"/>
    <w:rPr>
      <w:rFonts w:ascii="Arial" w:hAnsi="Arial"/>
      <w:sz w:val="19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2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5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5D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5D7"/>
    <w:rPr>
      <w:rFonts w:ascii="Arial" w:hAnsi="Arial"/>
      <w:b/>
      <w:bCs/>
      <w:lang w:eastAsia="en-US"/>
    </w:rPr>
  </w:style>
  <w:style w:type="paragraph" w:customStyle="1" w:styleId="default">
    <w:name w:val="default"/>
    <w:basedOn w:val="Normal"/>
    <w:rsid w:val="006F735E"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after="0"/>
    </w:pPr>
    <w:rPr>
      <w:rFonts w:cs="Arial"/>
      <w:color w:val="000000"/>
      <w:sz w:val="24"/>
      <w:lang w:eastAsia="en-GB"/>
    </w:rPr>
  </w:style>
  <w:style w:type="paragraph" w:customStyle="1" w:styleId="Default0">
    <w:name w:val="Default"/>
    <w:rsid w:val="008316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047F3"/>
    <w:pPr>
      <w:tabs>
        <w:tab w:val="left" w:pos="567"/>
        <w:tab w:val="left" w:pos="1134"/>
        <w:tab w:val="left" w:pos="1701"/>
        <w:tab w:val="left" w:pos="5670"/>
        <w:tab w:val="right" w:pos="9356"/>
      </w:tabs>
    </w:pPr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admin.ox.ac.uk/circulars-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04422-7C71-4DA0-9AC3-6EDFDF77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430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University of Oxford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creator>Alison Cross</dc:creator>
  <cp:lastModifiedBy>John Dickson</cp:lastModifiedBy>
  <cp:revision>10</cp:revision>
  <cp:lastPrinted>2019-10-21T07:55:00Z</cp:lastPrinted>
  <dcterms:created xsi:type="dcterms:W3CDTF">2020-08-21T09:01:00Z</dcterms:created>
  <dcterms:modified xsi:type="dcterms:W3CDTF">2020-08-21T12:49:00Z</dcterms:modified>
</cp:coreProperties>
</file>